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試食・食品アレルギー確認同意書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試食、試飲または食品サンプルの提供を受ける者（以下「利用者」といいます。）が、当該食品を提供する事業者、団体または主催者（以下あわせて「提供者」といいます。）から、提供食品、原材料情報、食物アレルギー対応の範囲、衛生上の注意および緊急時の対応等について説明を受け、その内容を理解したうえで飲食に同意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第1条（適用範囲および提供食品）</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本同意書は、店舗、展示会、催事、イベント、施設その他の場所で行う試食、試飲、商品サンプリングまたは食品の少量提供（以下「本試食」といいます。）に適用します。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本試食の食品名、提供日時・場所、使用予定原材料、保存・提供方法、対象年齢および提供数その他の個別条件は、商品表示、掲示、申込ページ、配布時の案内またはスタッフの説明によります。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本試食は購入または参加の条件ではなく、利用者は理由を示さずに受取りまたは飲食を断ることができます。提供者は、試食しないことを理由として不当な不利益を与えません。</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第2条（アレルギー、健康状態および事前確認）</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利用者は、食物アレルギー、アナフィラキシー歴、服薬、嚥下障害、妊娠、乳幼児への提供その他飲食の安全に影響する事項がある場合、飲食前に原材料および対応範囲を確認します。</w:t>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重い食物アレルギー、過去に原因不明の反応があった場合または安全を判断できない場合、利用者は本試食を見合わせます。未成年者その他本人だけで判断することが難しい者へ提供する場合、保護者等が確認します。</w:t>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利用者がアレルギーその他必要な配慮を申し出た場合、提供者は把握している情報と対応可能な範囲を説明し、安全を確認できないときは提供を中止します。</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第3条（原材料情報および意図しない混入）</w:t>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提供者は、使用商品の容器包装表示、仕入先情報、レシピその他確認できる資料に基づき、原材料およびアレルゲンに関する情報を案内します。情報が不明または変更されている可能性がある場合は、その旨を明確に伝えます。</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同一の調理場所、製造設備、トング、容器、油、保管場所または盛付け場所で複数の食品を扱う場合、微量のアレルゲンが意図せず混入する可能性があります。提供者は、実際に講じている分離・洗浄等の範囲を案内します。</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外食・中食形式の試食では、容器包装された加工食品と異なり、原材料の変更や調理時の混入を完全に排除できない場合があります。提供者は、対応を保証できないにもかかわらずアレルギー対応済みと断定しません。</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第4条（提供方法、衛生管理および飲食上の注意）</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提供者は、食材の温度、保管、器具、手指、盛付け、提供時間および廃棄等について、本試食の内容に応じた衛生管理を行い、異常または安全上の懸念がある食品を提供しません。</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利用者は、受け取った食品を案内された場所および時間内に飲食し、長時間放置した食品、他人が触れた食品、異臭・変色・容器破損その他異常のある食品を飲食しません。</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誤嚥、窒息、やけどその他の危険を避けるため、利用者は食品の大きさ、温度、硬さ、アルコール・カフェイン等の成分および自らの年齢・体調に応じて飲食可否を判断します。</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第5条（未成年者、代理受領および第三者への提供）</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未成年者へ本試食を提供する場合、提供者は、年齢、食品の性質、会場の条件等に応じて保護者の確認または同伴を求めることができます。保護者は子どものアレルギーおよび飲食状況を見守ります。</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利用者が食品を家族、同伴者その他第三者へ渡す場合、その者のアレルギー、年齢および健康状態を確認します。提供者が持出しまたは再配布を禁止した食品は第三者へ渡しません。</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提供対象者、提供数量、持出し、アルコール、年齢制限その他の条件が案内されている場合、利用者はこれに従います。本人確認または年齢確認ができないときは提供を断る場合があります。</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第6条（体調異常および緊急時の対応）</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飲食中または飲食後に、じんましん、口唇・舌の腫れ、せき、息苦しさ、嘔吐、意識低下その他の異常が生じた場合、利用者または同伴者は直ちに飲食を止めてスタッフへ知らせます。</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緊急性が疑われる場合、提供者は安全を優先し、救急要請、本人が携帯する処方薬の使用に関する補助、保護者・緊急連絡先への連絡その他可能な対応を行います。医療行為は資格および法令の範囲で行います。</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提供者は、同様の事故を防ぐため、提供を停止し、食品、表示、調理・配布状況、発生時刻および他の利用者への影響を確認し、必要に応じて保健所その他関係機関へ相談または報告します。</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第7条（記録、個人情報および事故対応）</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提供者は、氏名、連絡先、アレルギー等の申告、提供した食品、提供日時、問い合わせおよび事故記録を、本試食の安全管理、連絡、原因調査、商品回収ならびに事故・苦情対応に必要な範囲で取り扱います。</w:t>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健康情報は、事故予防および対応に必要な担当者に限って共有し、本人の同意または法令上の根拠なく広告、営業目的その他本試食と関係しない用途に利用しません。</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体調異常または事故が生じた場合、提供者と利用者は、原因確認に必要な範囲で、食品、原材料表示、医療機関の所見、摂取状況その他の情報を相互に確認します。</w:t>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第8条（責任の範囲、法令上の権利および同意）</w:t>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提供者の故意または過失、衛生管理上の不備、原材料情報の誤り、法令違反その他提供者が法令または契約上負う責任を免除するものではなく、利用者の法令上の権利を制限するものでもありません。</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利用者は、提供食品、確認できる原材料情報、アレルギー対応の範囲、意図しない混入の可能性および緊急時の対応について説明を受け、不明点を質問する機会を得たうえで飲食に同意します。</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提供食品または原材料が案内内容から変更された場合、提供者は変更を明示し、利用者は改めて飲食可否を判断できます。変更を確認できない場合、利用者は試食を見合わせます。</w:t>
      </w:r>
    </w:p>
    <w:p w:rsidR="00000000" w:rsidDel="00000000" w:rsidP="00000000" w:rsidRDefault="00000000" w:rsidRPr="00000000" w14:paraId="0000002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電子的に同意する場合、提供者は、利用者の氏名、連絡先、同意日時、提供食品・企画を識別する情報、対象文書の版および同意操作に関する記録を保存します。</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E">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2F">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私は、上記各条項および案内された提供食品に関する情報を確認し、自らの意思により本試食を受けることに同意します。</w:t>
      </w:r>
      <w:r w:rsidDel="00000000" w:rsidR="00000000" w:rsidRPr="00000000">
        <w:rPr>
          <w:rtl w:val="0"/>
        </w:rPr>
      </w:r>
    </w:p>
    <w:p w:rsidR="00000000" w:rsidDel="00000000" w:rsidP="00000000" w:rsidRDefault="00000000" w:rsidRPr="00000000" w14:paraId="00000030">
      <w:pPr>
        <w:spacing w:after="140" w:before="20" w:line="252.00000000000003" w:lineRule="auto"/>
        <w:rPr/>
      </w:pPr>
      <w:r w:rsidDel="00000000" w:rsidR="00000000" w:rsidRPr="00000000">
        <w:rPr>
          <w:rtl w:val="0"/>
        </w:rPr>
      </w:r>
    </w:p>
    <w:p w:rsidR="00000000" w:rsidDel="00000000" w:rsidP="00000000" w:rsidRDefault="00000000" w:rsidRPr="00000000" w14:paraId="00000031">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32">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