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レンタルスペース利用規約同意書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時間または期間を定めてスペースを利用する者（以下「利用者」といいます。）が、当該スペースを提供または管理する事業者、団体もしくは所有者（以下あわせて「運営者」といいます。）から、利用条件、料金、禁止事項、安全管理および原状回復について説明を受け、その内容を理解したうえで利用規約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第1条（適用範囲、予約および参加者）</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会議室、スタジオ、サロン、キッチン、教室、ワークスペース、撮影場所、展示・イベント会場その他時間または期間を定めて提供される場所（以下「本スペース」といいます。）の利用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本スペースの所在地、利用日時、利用範囲、定員、利用目的、料金、設備、入退室方法、禁止事項その他の個別条件は、予約画面、掲載ページ、確認メール、見積書または利用開始前の案内によります。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個別条件と本同意書の内容が異なる場合は、法令に反しない範囲で、利用者が予約確定前に確認できた個別条件が優先します。利用者に不利な重要変更は、利用前に説明し、必要な承諾を得ます。</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本スペースの予約は、運営者が予約確定画面、電子メール、メッセージその他の方法で確定を通知した時点で成立します。利用者は、予約内容と連絡先を確認し、誤りがあれば速やかに知らせます。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複数人で利用する場合、申込者は利用代表者として本同意書および個別条件を参加者へ周知し、参加者の行為について運営者との連絡および必要な調整を行います。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未成年者、補助を必要とする者または第三者を招く場合、利用者は、年齢、利用内容および法令に応じて保護者、介助者、責任者その他必要な者の同伴または承諾を確認します。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第2条（利用目的、利用時間および入退室）</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利用者は、予約時に申告した会議、撮影、施術、調理、教室、展示、イベントその他の目的および運営者が許可した範囲で本スペースを利用します。</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販売、営業、飲食提供、火気、音響、撮影、配信、施術、酒類提供、物品搬入その他許可、届出または特別な設備を要する利用を予定する場合、利用者は予約前または判明後速やかに運営者へ申告します。</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利用目的、人数、レイアウト、設備使用または持込物を重要に変更する場合、利用者は事前に運営者の承諾を得ます。安全、近隣、設備または法令上の理由により変更が認められない場合があります。</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準備、搬入、参加者の入場、片付け、清掃、搬出および退室確認は、予約した利用時間内に行います。利用者は、案内された入退室方法、鍵・暗証番号の管理および本人確認に従います。</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利用時間の延長を希望する場合、利用者は終了時刻前に運営者へ申し出て承諾を得ます。後続予約、建物の利用時間その他の事情により延長できない場合があります。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無断延長、早すぎる入室、退室遅延その他予約時間外の利用があった場合、予約前に明示された追加料金が合理的な範囲で発生することがあります。運営者は利用時間の記録に基づき説明します。</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第3条（料金、キャンセル、禁止事項および利用制限）</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料金、設備費、清掃費、保証金、追加料金、支払方法および決済時期は、予約確定前に表示された料金表、予約画面または見積書によります。追加費用は、その発生条件が事前に明示されたものに限ります。</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利用者による予約変更またはキャンセルは、予約時に案内された期限および方法により行います。キャンセル料は、時期、確保した枠、準備費用その他通常生じる損害を考慮した合理的な範囲で適用します。</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運営者の都合、設備故障、建物の利用停止その他運営者側の事情により本スペースを提供できない場合、運営者は速やかに連絡し、代替日時、代替場所または未提供分の返金を案内します。</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および参加者は、法令違反、公序良俗に反する行為、危険物の持込み、無断転貸、申告と異なる営業、過度な騒音・振動・悪臭、建物・設備の損傷、他者への迷惑または運営を妨げる行為を行いません。</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喫煙、火気、飲酒、調理、動物、土足、壁・床への固定、重量物、楽器・音響、成人向け利用、宿泊その他の可否は、予約前に案内された個別条件に従います。明示的に許可されていない行為は事前に確認します。</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重大な禁止行為、虚偽申告、危険、近隣からの苦情または利用継続が困難な事情がある場合、運営者は是正を求め、改善されないときは利用を中止できます。料金の取扱いは原因、提供済み時間および法令に基づいて合理的に判断します。</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第4条（設備、持込物、清掃および原状回復）</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利用者は、机、椅子、照明、音響、調理器具、通信設備、鍵その他の設備・備品を案内された方法および用途で使用し、移動または設定変更を行った場合は退室前に元の状態へ戻します。</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設備・備品の数量、仕様、互換性および動作は掲載情報と現地の案内によります。特定の機材が利用の必須条件となる場合、利用者は予約前または利用開始時に動作と必要な接続物を確認します。</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利用者が持ち込む機材、商品、装飾、食品その他の物品は、利用者の責任で法令、安全および第三者の権利を確認し、運営者の承諾なく建物へ残置しません。</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利用者は、本スペースを衛生的に使用し、利用後に、ごみ、汚れ、食べ残し、装飾、粘着物、配置その他を案内された状態へ戻して、所定の方法で退室します。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ごみの持帰り、分別、指定場所への排出、食器洗浄、床・設備の清掃その他の取扱いは、利用前に案内された条件に従います。特別清掃または廃棄が必要となった場合、事前に明示された条件または実費に基づき合理的な費用が発生することがあります。</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通常の利用による軽微な損耗を除き、利用者または参加者の行為により本スペース、設備または共用部を汚損・破損した場合、利用者は速やかに運営者へ報告し、責任範囲に応じて修理、清掃その他合理的な原状回復に協力し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第5条（安全、近隣、撮影および第三者の権利）</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利用者は、定員、避難経路、火気、電源容量、換気、重量、転倒防止、食品衛生その他利用内容に応じた安全事項を確認し、参加者の安全管理を行います。</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火災、地震、警報、けが、急病、設備異常、漏水、停電その他の緊急事態が生じた場合、利用者は人命を優先し、必要に応じて避難、緊急通報および運営者への連絡を行います。</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建物管理者、消防、警察、救急その他関係者の指示または安全上の必要により、利用の中断、避難または中止を求めることがあります。不可抗力時の料金は、個別条件、未提供分および双方の事情に応じて取り扱います。</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利用者は、建物の共用部、近隣、他の利用者および通行者に配慮し、案内された音量、利用可能時間、搬入経路、駐車・駐輪および共用部の使用条件を守ります。</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撮影、録音、配信またはイベントを行う場合、利用者は、参加者、通行者、近隣、他の利用者、展示物、音楽、ロゴその他第三者の肖像、プライバシー、著作権、商標権および施設ルールを確認します。</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本スペースの名称、所在地、写真または設備を広告等へ利用する場合、利用者は、運営者との関係を誤認させず、運営者による推薦、共催または保証があるかのような表示を行いません。</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第6条（防犯、紛失物および個人情報）</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利用者は、貴重品、機材、商品、個人情報を含む資料その他の持込物を自ら管理し、無人時間または共用部に放置しません。紛失物を発見した場合は、運営者へ連絡して案内に従います。</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防犯、安全確認または入退室管理のためカメラ、入退室ログ、スマートロックその他の記録設備を使用する場合、運営者は、利用者が認識できる方法で目的と記録範囲を案内し、必要な範囲で利用します。</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運営者は、氏名、連絡先、予約内容、決済情報、利用記録、問い合わせおよび事故記録等を、予約管理、本人確認、本スペースの提供、会計、安全管理ならびに苦情・紛争対応に必要な範囲で取り扱います。</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第7条（損害対応、免責の限界および同意）</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本スペース、設備または運営者の管理上の不備により事故または損害が生じた場合、運営者は事実関係を確認し、自己の責任範囲に応じて修理、返金、保険対応その他合理的な対応を行います。</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運営者の故意または過失、債務不履行、安全管理上の不備その他運営者が法令または契約上負う責任を免除するものではなく、消費者契約法その他の法令により認められる利用者の権利を制限するものでもありません。</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利用者は、本スペース、個別条件、料金、利用時間、禁止事項、安全管理、原状回復および損害対応について説明を受け、不明点を質問する機会を得たうえで、自らの意思により本利用規約に同意します。</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電子的に同意する場合、運営者は、同意者の氏名、連絡先、同意日時、予約・本スペース・利用条件を識別する情報、対象文書の版および同意操作に関する記録を保存します。</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8">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9">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私は、上記各条項および予約時に案内された個別条件を確認し、本スペースの利用規約に同意します。</w:t>
      </w:r>
      <w:r w:rsidDel="00000000" w:rsidR="00000000" w:rsidRPr="00000000">
        <w:rPr>
          <w:rtl w:val="0"/>
        </w:rPr>
      </w:r>
    </w:p>
    <w:p w:rsidR="00000000" w:rsidDel="00000000" w:rsidP="00000000" w:rsidRDefault="00000000" w:rsidRPr="00000000" w14:paraId="0000003A">
      <w:pPr>
        <w:spacing w:after="140" w:before="20" w:line="252.00000000000003" w:lineRule="auto"/>
        <w:rPr/>
      </w:pPr>
      <w:r w:rsidDel="00000000" w:rsidR="00000000" w:rsidRPr="00000000">
        <w:rPr>
          <w:rtl w:val="0"/>
        </w:rPr>
      </w:r>
    </w:p>
    <w:p w:rsidR="00000000" w:rsidDel="00000000" w:rsidP="00000000" w:rsidRDefault="00000000" w:rsidRPr="00000000" w14:paraId="0000003B">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C">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